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2B7869" w:rsidP="00883D96">
      <w:pPr>
        <w:jc w:val="center"/>
        <w:rPr>
          <w:b/>
        </w:rPr>
      </w:pPr>
      <w:r w:rsidRPr="00883D96">
        <w:rPr>
          <w:b/>
        </w:rPr>
        <w:t>Human Resource Management</w:t>
      </w:r>
    </w:p>
    <w:p w:rsidR="00883D96" w:rsidRDefault="00883D96" w:rsidP="00883D96">
      <w:pPr>
        <w:jc w:val="center"/>
        <w:rPr>
          <w:b/>
        </w:rPr>
      </w:pPr>
    </w:p>
    <w:p w:rsidR="00883D96" w:rsidRDefault="00883D96" w:rsidP="00883D96">
      <w:pPr>
        <w:jc w:val="center"/>
        <w:rPr>
          <w:b/>
        </w:rPr>
      </w:pPr>
    </w:p>
    <w:p w:rsidR="00883D96" w:rsidRPr="00883D96" w:rsidRDefault="002B7869" w:rsidP="00883D96">
      <w:pPr>
        <w:jc w:val="center"/>
      </w:pPr>
      <w:r w:rsidRPr="00883D96">
        <w:t xml:space="preserve">Name </w:t>
      </w:r>
    </w:p>
    <w:p w:rsidR="00883D96" w:rsidRPr="00883D96" w:rsidRDefault="002B7869" w:rsidP="00883D96">
      <w:pPr>
        <w:jc w:val="center"/>
      </w:pPr>
      <w:r w:rsidRPr="00883D96">
        <w:t>Affiliation</w:t>
      </w:r>
    </w:p>
    <w:p w:rsidR="00883D96" w:rsidRDefault="002B7869" w:rsidP="00883D96">
      <w:pPr>
        <w:jc w:val="center"/>
      </w:pPr>
      <w:r w:rsidRPr="00883D96">
        <w:t>Date</w:t>
      </w:r>
    </w:p>
    <w:p w:rsidR="00883D96" w:rsidRDefault="002B7869">
      <w:r>
        <w:br w:type="page"/>
      </w:r>
    </w:p>
    <w:p w:rsidR="00572C07" w:rsidRDefault="002B7869" w:rsidP="0026358D">
      <w:pPr>
        <w:contextualSpacing/>
        <w:jc w:val="center"/>
        <w:rPr>
          <w:b/>
        </w:rPr>
      </w:pPr>
      <w:r w:rsidRPr="00883D96">
        <w:rPr>
          <w:b/>
        </w:rPr>
        <w:t>Human Resource Management</w:t>
      </w:r>
    </w:p>
    <w:p w:rsidR="00E50EEE" w:rsidRDefault="002B7869" w:rsidP="00E50EEE">
      <w:pPr>
        <w:contextualSpacing/>
        <w:rPr>
          <w:b/>
        </w:rPr>
      </w:pPr>
      <w:r>
        <w:rPr>
          <w:b/>
        </w:rPr>
        <w:t>Part One</w:t>
      </w:r>
    </w:p>
    <w:p w:rsidR="00883D96" w:rsidRDefault="002B7869" w:rsidP="00694CEF">
      <w:pPr>
        <w:spacing w:after="0"/>
        <w:ind w:firstLine="720"/>
        <w:contextualSpacing/>
      </w:pPr>
      <w:r>
        <w:t>Several environment</w:t>
      </w:r>
      <w:r w:rsidR="00572C07">
        <w:t xml:space="preserve">al factors </w:t>
      </w:r>
      <w:r w:rsidR="0026358D">
        <w:t>can affect the</w:t>
      </w:r>
      <w:r w:rsidR="00694CEF">
        <w:t xml:space="preserve"> </w:t>
      </w:r>
      <w:r w:rsidR="0026358D">
        <w:t>organization. Social, politic</w:t>
      </w:r>
      <w:r w:rsidR="00F975CE">
        <w:t>al, and competition influence could</w:t>
      </w:r>
      <w:r w:rsidR="0026358D">
        <w:t xml:space="preserve"> have both positive and negative impacts on the organization.competion is vital for the </w:t>
      </w:r>
      <w:r w:rsidR="00250205">
        <w:t>effic</w:t>
      </w:r>
      <w:r w:rsidR="0026358D">
        <w:t xml:space="preserve">ient operation of an organization since it helps </w:t>
      </w:r>
      <w:r w:rsidR="00250205">
        <w:t>deliver</w:t>
      </w:r>
      <w:r w:rsidR="0026358D">
        <w:t xml:space="preserve"> the best products and services. </w:t>
      </w:r>
      <w:r w:rsidR="00C23669">
        <w:t xml:space="preserve">One </w:t>
      </w:r>
      <w:r w:rsidR="00250205">
        <w:t>significant</w:t>
      </w:r>
      <w:r w:rsidR="00C23669">
        <w:t xml:space="preserve"> benefit of competition </w:t>
      </w:r>
      <w:r w:rsidR="00572C07">
        <w:t xml:space="preserve">is </w:t>
      </w:r>
      <w:r w:rsidR="00200450">
        <w:t>an</w:t>
      </w:r>
      <w:r w:rsidR="00572C07">
        <w:t xml:space="preserve"> </w:t>
      </w:r>
      <w:r w:rsidR="00581032">
        <w:t>enhancement</w:t>
      </w:r>
      <w:r w:rsidR="00572C07">
        <w:t xml:space="preserve"> in </w:t>
      </w:r>
      <w:r w:rsidR="00250205">
        <w:t>innovation. Rivalry</w:t>
      </w:r>
      <w:r w:rsidR="00C23669">
        <w:t xml:space="preserve"> among organizations spurs </w:t>
      </w:r>
      <w:r w:rsidR="00581032">
        <w:t>the invention</w:t>
      </w:r>
      <w:r w:rsidR="00C23669">
        <w:t xml:space="preserve"> of better services and products</w:t>
      </w:r>
      <w:r w:rsidR="00E43582" w:rsidRPr="00E43582">
        <w:rPr>
          <w:rFonts w:ascii="Verdana" w:hAnsi="Verdana"/>
          <w:color w:val="333333"/>
          <w:sz w:val="21"/>
          <w:szCs w:val="21"/>
          <w:shd w:val="clear" w:color="auto" w:fill="FFFFFF"/>
        </w:rPr>
        <w:t xml:space="preserve"> </w:t>
      </w:r>
      <w:r w:rsidR="00E43582" w:rsidRPr="00E43582">
        <w:rPr>
          <w:rFonts w:cs="Times New Roman"/>
          <w:color w:val="333333"/>
          <w:szCs w:val="24"/>
          <w:shd w:val="clear" w:color="auto" w:fill="FFFFFF"/>
        </w:rPr>
        <w:t>(Liu et al., 2015)</w:t>
      </w:r>
      <w:r w:rsidR="00F44797" w:rsidRPr="00E43582">
        <w:rPr>
          <w:rFonts w:cs="Times New Roman"/>
          <w:szCs w:val="24"/>
        </w:rPr>
        <w:t>. It</w:t>
      </w:r>
      <w:r w:rsidR="00F44797">
        <w:t xml:space="preserve"> can also </w:t>
      </w:r>
      <w:r w:rsidR="00250205">
        <w:t xml:space="preserve">tip </w:t>
      </w:r>
      <w:r w:rsidR="00F44797">
        <w:t>companies</w:t>
      </w:r>
      <w:r w:rsidR="00581032">
        <w:t xml:space="preserve"> to</w:t>
      </w:r>
      <w:r w:rsidR="00F44797">
        <w:t xml:space="preserve"> invent a cheap</w:t>
      </w:r>
      <w:r w:rsidR="00250205">
        <w:t>er manufacturing process, eventually helping</w:t>
      </w:r>
      <w:r w:rsidR="00F44797">
        <w:t xml:space="preserve"> to compete with others and </w:t>
      </w:r>
      <w:r w:rsidR="00250205">
        <w:t xml:space="preserve">increase </w:t>
      </w:r>
      <w:r w:rsidR="00581032">
        <w:t>profits. Business</w:t>
      </w:r>
      <w:r w:rsidR="00250205">
        <w:t xml:space="preserve"> rivalry constitutes </w:t>
      </w:r>
      <w:r w:rsidR="00200450">
        <w:t>in the</w:t>
      </w:r>
      <w:r w:rsidR="00F44797">
        <w:t xml:space="preserve"> production of new services and </w:t>
      </w:r>
      <w:r w:rsidR="007069D6">
        <w:t>products. However</w:t>
      </w:r>
      <w:r w:rsidR="00250205">
        <w:t>, this rivalry could</w:t>
      </w:r>
      <w:r w:rsidR="007069D6">
        <w:t xml:space="preserve"> bring market sat</w:t>
      </w:r>
      <w:r w:rsidR="00581032">
        <w:t xml:space="preserve">uration due to the oversupply </w:t>
      </w:r>
      <w:r w:rsidR="007069D6">
        <w:t xml:space="preserve">of </w:t>
      </w:r>
      <w:r w:rsidR="00581032">
        <w:t>stock</w:t>
      </w:r>
      <w:r w:rsidR="007069D6">
        <w:t xml:space="preserve">, and </w:t>
      </w:r>
      <w:r w:rsidR="00581032">
        <w:t xml:space="preserve">reduced </w:t>
      </w:r>
      <w:r w:rsidR="007069D6">
        <w:t>demand.it</w:t>
      </w:r>
      <w:r w:rsidR="00200450">
        <w:t xml:space="preserve"> could also decrease </w:t>
      </w:r>
      <w:r w:rsidR="007069D6">
        <w:t xml:space="preserve">organization market share and </w:t>
      </w:r>
      <w:r w:rsidR="00144285">
        <w:t>shrinks</w:t>
      </w:r>
      <w:r w:rsidR="007069D6">
        <w:t xml:space="preserve"> the customer’s </w:t>
      </w:r>
      <w:r w:rsidR="00DD3D32">
        <w:t xml:space="preserve">base. The </w:t>
      </w:r>
      <w:r w:rsidR="00F866A4">
        <w:t>modest</w:t>
      </w:r>
      <w:r w:rsidR="007069D6">
        <w:t xml:space="preserve"> market </w:t>
      </w:r>
      <w:r w:rsidR="00DD3D32">
        <w:t xml:space="preserve">could </w:t>
      </w:r>
      <w:r w:rsidR="00F866A4">
        <w:t>strengthen</w:t>
      </w:r>
      <w:r w:rsidR="00DD3D32">
        <w:t xml:space="preserve"> </w:t>
      </w:r>
      <w:r w:rsidR="007069D6">
        <w:t>price reduction</w:t>
      </w:r>
      <w:r w:rsidR="00572C07">
        <w:t xml:space="preserve">, thus decreasing the companies' </w:t>
      </w:r>
      <w:r w:rsidR="007069D6">
        <w:t>returns</w:t>
      </w:r>
      <w:r w:rsidR="00144285">
        <w:t xml:space="preserve"> on sales.</w:t>
      </w:r>
    </w:p>
    <w:p w:rsidR="00572C07" w:rsidRDefault="002B7869" w:rsidP="0026358D">
      <w:pPr>
        <w:ind w:firstLine="720"/>
        <w:contextualSpacing/>
      </w:pPr>
      <w:r w:rsidRPr="004B1F48">
        <w:rPr>
          <w:rFonts w:cs="Times New Roman"/>
          <w:szCs w:val="24"/>
        </w:rPr>
        <w:t>A second environmental influence could be the political environment of the country the organization</w:t>
      </w:r>
      <w:r>
        <w:rPr>
          <w:rFonts w:cs="Times New Roman"/>
          <w:szCs w:val="24"/>
        </w:rPr>
        <w:t xml:space="preserve"> is invested in</w:t>
      </w:r>
      <w:r w:rsidR="00E43582" w:rsidRPr="00E43582">
        <w:rPr>
          <w:rFonts w:ascii="Verdana" w:hAnsi="Verdana"/>
          <w:color w:val="333333"/>
          <w:sz w:val="21"/>
          <w:szCs w:val="21"/>
          <w:shd w:val="clear" w:color="auto" w:fill="FFFFFF"/>
        </w:rPr>
        <w:t xml:space="preserve"> </w:t>
      </w:r>
      <w:r w:rsidR="00E43582" w:rsidRPr="00E43582">
        <w:rPr>
          <w:rFonts w:cs="Times New Roman"/>
          <w:color w:val="333333"/>
          <w:szCs w:val="24"/>
          <w:shd w:val="clear" w:color="auto" w:fill="FFFFFF"/>
        </w:rPr>
        <w:t>(Child &amp; Rodrigues, 2012)</w:t>
      </w:r>
      <w:r w:rsidR="003F2319" w:rsidRPr="00E43582">
        <w:rPr>
          <w:rFonts w:cs="Times New Roman"/>
          <w:szCs w:val="24"/>
        </w:rPr>
        <w:t>. The</w:t>
      </w:r>
      <w:r w:rsidR="003329EA">
        <w:t xml:space="preserve"> political situation of a nation </w:t>
      </w:r>
      <w:r w:rsidR="00045D6F">
        <w:t>could affect</w:t>
      </w:r>
      <w:r w:rsidR="003329EA">
        <w:t xml:space="preserve"> the industrial setting, </w:t>
      </w:r>
      <w:r>
        <w:t>distressing</w:t>
      </w:r>
      <w:r w:rsidR="003329EA">
        <w:t xml:space="preserve"> the business's performance</w:t>
      </w:r>
      <w:r w:rsidR="00ED3C0C">
        <w:t xml:space="preserve">. </w:t>
      </w:r>
      <w:r w:rsidR="00F23860">
        <w:t>For example, m</w:t>
      </w:r>
      <w:r w:rsidR="00ED3C0C">
        <w:t xml:space="preserve">ajor differences between political parties in the United States have influences on aspects such as government spending and </w:t>
      </w:r>
      <w:r w:rsidR="00ED3C0C" w:rsidRPr="00A60045">
        <w:rPr>
          <w:rFonts w:cs="Times New Roman"/>
          <w:szCs w:val="24"/>
        </w:rPr>
        <w:t>taxes</w:t>
      </w:r>
      <w:r w:rsidR="00A60045" w:rsidRPr="00A60045">
        <w:rPr>
          <w:rFonts w:cs="Times New Roman"/>
          <w:color w:val="333333"/>
          <w:szCs w:val="24"/>
          <w:shd w:val="clear" w:color="auto" w:fill="FFFFFF"/>
        </w:rPr>
        <w:t xml:space="preserve"> (Vecchiato, 2012)</w:t>
      </w:r>
      <w:r w:rsidR="00ED3C0C" w:rsidRPr="00A60045">
        <w:rPr>
          <w:rFonts w:cs="Times New Roman"/>
          <w:szCs w:val="24"/>
        </w:rPr>
        <w:t>. A grander l</w:t>
      </w:r>
      <w:r w:rsidR="00ED3C0C">
        <w:t>eve</w:t>
      </w:r>
      <w:r w:rsidR="001B6FAD">
        <w:t>l of government spending negatively</w:t>
      </w:r>
      <w:r w:rsidR="00ED3C0C">
        <w:t xml:space="preserve"> influences the economy. Rules and regulations from the govern</w:t>
      </w:r>
      <w:r w:rsidR="001B6FAD">
        <w:t>ment are usually altered, thus affecting</w:t>
      </w:r>
      <w:r w:rsidR="00ED3C0C">
        <w:t xml:space="preserve"> the performance of an organization.</w:t>
      </w:r>
      <w:r w:rsidR="00B70680">
        <w:t xml:space="preserve"> Besides, political</w:t>
      </w:r>
      <w:r w:rsidR="001B6FAD">
        <w:t xml:space="preserve"> stability creating </w:t>
      </w:r>
      <w:r w:rsidR="00ED3C0C">
        <w:t xml:space="preserve">a </w:t>
      </w:r>
      <w:r w:rsidR="00B70680">
        <w:t>peaceful</w:t>
      </w:r>
      <w:r w:rsidR="00ED3C0C">
        <w:t xml:space="preserve"> enviro</w:t>
      </w:r>
      <w:r w:rsidR="001B6FAD">
        <w:t>nment for business transactions, general</w:t>
      </w:r>
      <w:r w:rsidR="00ED3C0C">
        <w:t xml:space="preserve"> </w:t>
      </w:r>
      <w:r w:rsidR="00B70680">
        <w:t>disorders, aggressive</w:t>
      </w:r>
      <w:r w:rsidR="00ED3C0C">
        <w:t xml:space="preserve"> takeover, and riots</w:t>
      </w:r>
      <w:r w:rsidR="00B70680">
        <w:t xml:space="preserve"> can disrupt the business operations evident in nations such as Sri Lanka.</w:t>
      </w:r>
      <w:r w:rsidR="003F2319">
        <w:t xml:space="preserve">social environment of an organization can be integral to its </w:t>
      </w:r>
      <w:r w:rsidR="003F2319" w:rsidRPr="00A60045">
        <w:rPr>
          <w:rFonts w:cs="Times New Roman"/>
          <w:szCs w:val="24"/>
        </w:rPr>
        <w:t>success</w:t>
      </w:r>
      <w:r w:rsidR="00A60045" w:rsidRPr="00A60045">
        <w:rPr>
          <w:rFonts w:cs="Times New Roman"/>
          <w:color w:val="333333"/>
          <w:szCs w:val="24"/>
          <w:shd w:val="clear" w:color="auto" w:fill="FFFFFF"/>
        </w:rPr>
        <w:t xml:space="preserve"> </w:t>
      </w:r>
      <w:r w:rsidR="00A60045">
        <w:rPr>
          <w:rFonts w:cs="Times New Roman"/>
          <w:color w:val="333333"/>
          <w:szCs w:val="24"/>
          <w:shd w:val="clear" w:color="auto" w:fill="FFFFFF"/>
        </w:rPr>
        <w:t>(Finger, 2013</w:t>
      </w:r>
      <w:r w:rsidR="00A60045" w:rsidRPr="00A60045">
        <w:rPr>
          <w:rFonts w:cs="Times New Roman"/>
          <w:color w:val="333333"/>
          <w:szCs w:val="24"/>
          <w:shd w:val="clear" w:color="auto" w:fill="FFFFFF"/>
        </w:rPr>
        <w:t>)</w:t>
      </w:r>
      <w:r w:rsidR="003F2319" w:rsidRPr="00A60045">
        <w:rPr>
          <w:rFonts w:cs="Times New Roman"/>
          <w:szCs w:val="24"/>
        </w:rPr>
        <w:t>.</w:t>
      </w:r>
      <w:r w:rsidR="003F2319">
        <w:t xml:space="preserve"> Workers in an organization are always </w:t>
      </w:r>
      <w:r w:rsidR="00F866A4">
        <w:t>prejudiced</w:t>
      </w:r>
      <w:r w:rsidR="003F2319">
        <w:t xml:space="preserve"> by the </w:t>
      </w:r>
      <w:r w:rsidR="00F866A4">
        <w:t>framework</w:t>
      </w:r>
      <w:r w:rsidR="003F2319">
        <w:t xml:space="preserve"> in which they work</w:t>
      </w:r>
      <w:r w:rsidR="00F866A4">
        <w:t xml:space="preserve"> in</w:t>
      </w:r>
      <w:r w:rsidR="003F2319">
        <w:t xml:space="preserve">, and this has </w:t>
      </w:r>
      <w:r w:rsidR="00045D6F">
        <w:t>insinuation</w:t>
      </w:r>
      <w:r w:rsidR="003F2319">
        <w:t xml:space="preserve"> for production. Employee cooperation and teamwork in an organization with a positive social environment </w:t>
      </w:r>
      <w:r w:rsidR="00045D6F">
        <w:t>could encourage</w:t>
      </w:r>
      <w:r w:rsidR="003F2319">
        <w:t xml:space="preserve"> them to be a team.</w:t>
      </w:r>
      <w:r w:rsidR="002B525B">
        <w:t>in dealing with</w:t>
      </w:r>
      <w:r w:rsidR="00045D6F">
        <w:t xml:space="preserve"> political</w:t>
      </w:r>
      <w:r w:rsidR="002B525B">
        <w:t xml:space="preserve"> such aspects, the</w:t>
      </w:r>
      <w:r w:rsidR="00F975CE">
        <w:t xml:space="preserve"> organization must investigate the political environment to ensure that the environment is not unwittingly </w:t>
      </w:r>
      <w:r w:rsidR="002B525B">
        <w:t>initiating</w:t>
      </w:r>
      <w:r w:rsidR="00F975CE">
        <w:t xml:space="preserve"> </w:t>
      </w:r>
      <w:r w:rsidR="002B525B">
        <w:t>enterprise in an unfeasible location</w:t>
      </w:r>
      <w:r w:rsidR="00F975CE">
        <w:t xml:space="preserve"> </w:t>
      </w:r>
    </w:p>
    <w:p w:rsidR="00E50EEE" w:rsidRDefault="002B7869" w:rsidP="00E50EEE">
      <w:pPr>
        <w:ind w:firstLine="720"/>
        <w:contextualSpacing/>
      </w:pPr>
      <w:r>
        <w:t xml:space="preserve"> The organization with </w:t>
      </w:r>
      <w:r w:rsidR="00F866A4">
        <w:t>workers</w:t>
      </w:r>
      <w:r>
        <w:t xml:space="preserve"> </w:t>
      </w:r>
      <w:r w:rsidR="00717046">
        <w:t xml:space="preserve">who </w:t>
      </w:r>
      <w:r w:rsidR="00F866A4">
        <w:t xml:space="preserve">practice </w:t>
      </w:r>
      <w:r w:rsidR="00717046">
        <w:t>positive</w:t>
      </w:r>
      <w:r w:rsidR="00F866A4">
        <w:t xml:space="preserve"> norms of</w:t>
      </w:r>
      <w:r w:rsidR="00717046">
        <w:t xml:space="preserve"> social environment normally have a </w:t>
      </w:r>
      <w:r w:rsidR="006936DC">
        <w:t>superior</w:t>
      </w:r>
      <w:r w:rsidR="00717046">
        <w:t xml:space="preserve"> sense of enjoyment and job </w:t>
      </w:r>
      <w:r w:rsidR="00F866A4">
        <w:t>gratification</w:t>
      </w:r>
      <w:r w:rsidR="00717046">
        <w:t xml:space="preserve">. Whereas job </w:t>
      </w:r>
      <w:r w:rsidR="006936DC">
        <w:t>atmosphere</w:t>
      </w:r>
      <w:r w:rsidR="00717046">
        <w:t xml:space="preserve"> with </w:t>
      </w:r>
      <w:r w:rsidR="006936DC">
        <w:t>unconstructiveness</w:t>
      </w:r>
      <w:r w:rsidR="00717046">
        <w:t xml:space="preserve"> causes workers conflicts, thus affecting the production of the organization. </w:t>
      </w:r>
      <w:r w:rsidR="00717046" w:rsidRPr="00FF25EE">
        <w:rPr>
          <w:rFonts w:cs="Times New Roman"/>
          <w:szCs w:val="24"/>
        </w:rPr>
        <w:t>The other social aspect is the attraction of numbers and types of customers</w:t>
      </w:r>
      <w:r w:rsidR="00FF25EE" w:rsidRPr="00FF25EE">
        <w:rPr>
          <w:rFonts w:cs="Times New Roman"/>
          <w:color w:val="333333"/>
          <w:szCs w:val="24"/>
          <w:shd w:val="clear" w:color="auto" w:fill="FFFFFF"/>
        </w:rPr>
        <w:t xml:space="preserve"> (Van Hooff &amp; Taris, 2014)</w:t>
      </w:r>
      <w:r w:rsidR="00717046" w:rsidRPr="00FF25EE">
        <w:rPr>
          <w:rFonts w:cs="Times New Roman"/>
          <w:szCs w:val="24"/>
        </w:rPr>
        <w:t xml:space="preserve">. A business </w:t>
      </w:r>
      <w:r w:rsidR="00717046">
        <w:t xml:space="preserve">with employees who have a positive attitude and cooperative attracts appreciation from clients while interacting with </w:t>
      </w:r>
      <w:r w:rsidR="0026358D">
        <w:t>clients. A nurturing and</w:t>
      </w:r>
      <w:r w:rsidR="00045D6F">
        <w:t xml:space="preserve"> positive social environment could</w:t>
      </w:r>
      <w:r w:rsidR="0026358D">
        <w:t xml:space="preserve"> lead to the creation of leaders within the organization. The positive emphasis, education, and </w:t>
      </w:r>
      <w:r w:rsidR="00045D6F">
        <w:t xml:space="preserve">self-improvement of workers could </w:t>
      </w:r>
      <w:r w:rsidR="0026358D">
        <w:t>cultivate leaders within the organization.</w:t>
      </w:r>
    </w:p>
    <w:p w:rsidR="00752D53" w:rsidRDefault="002B7869" w:rsidP="002B525B">
      <w:pPr>
        <w:contextualSpacing/>
        <w:jc w:val="center"/>
        <w:rPr>
          <w:b/>
        </w:rPr>
      </w:pPr>
      <w:r>
        <w:rPr>
          <w:b/>
        </w:rPr>
        <w:t>Job Description</w:t>
      </w:r>
    </w:p>
    <w:p w:rsidR="00144285" w:rsidRDefault="002B7869" w:rsidP="0026358D">
      <w:pPr>
        <w:contextualSpacing/>
      </w:pPr>
      <w:r>
        <w:rPr>
          <w:b/>
        </w:rPr>
        <w:tab/>
      </w:r>
      <w:r>
        <w:t xml:space="preserve">The marketing manager position has become available within </w:t>
      </w:r>
      <w:r w:rsidR="00CC7326">
        <w:t>the business organization. The individual who will fill this gap is expected</w:t>
      </w:r>
      <w:r>
        <w:t xml:space="preserve"> to coordinate the organization’s </w:t>
      </w:r>
      <w:r w:rsidR="0001489B">
        <w:t>sales, market</w:t>
      </w:r>
      <w:r>
        <w:t xml:space="preserve"> research, product development </w:t>
      </w:r>
      <w:r w:rsidR="0001489B" w:rsidRPr="00A60045">
        <w:rPr>
          <w:rFonts w:cs="Times New Roman"/>
          <w:szCs w:val="24"/>
        </w:rPr>
        <w:t>data, and</w:t>
      </w:r>
      <w:r w:rsidRPr="00A60045">
        <w:rPr>
          <w:rFonts w:cs="Times New Roman"/>
          <w:szCs w:val="24"/>
        </w:rPr>
        <w:t xml:space="preserve"> </w:t>
      </w:r>
      <w:r w:rsidR="0001489B" w:rsidRPr="00A60045">
        <w:rPr>
          <w:rFonts w:cs="Times New Roman"/>
          <w:szCs w:val="24"/>
        </w:rPr>
        <w:t>pricing</w:t>
      </w:r>
      <w:r w:rsidR="00A60045" w:rsidRPr="00A60045">
        <w:rPr>
          <w:rFonts w:cs="Times New Roman"/>
          <w:color w:val="333333"/>
          <w:szCs w:val="24"/>
          <w:shd w:val="clear" w:color="auto" w:fill="FFFFFF"/>
        </w:rPr>
        <w:t xml:space="preserve"> (McConnell, 2019)</w:t>
      </w:r>
      <w:r w:rsidR="0001489B" w:rsidRPr="00A60045">
        <w:rPr>
          <w:rFonts w:cs="Times New Roman"/>
          <w:szCs w:val="24"/>
        </w:rPr>
        <w:t>. The</w:t>
      </w:r>
      <w:r w:rsidRPr="00A60045">
        <w:rPr>
          <w:rFonts w:cs="Times New Roman"/>
          <w:szCs w:val="24"/>
        </w:rPr>
        <w:t xml:space="preserve"> individual</w:t>
      </w:r>
      <w:r>
        <w:t xml:space="preserve"> will develop </w:t>
      </w:r>
      <w:r w:rsidR="0001489B">
        <w:t xml:space="preserve">advertising, public relations plan, and policies and marketing.regurading the size of the organization, marketing manager will both </w:t>
      </w:r>
      <w:r w:rsidR="00CC7326">
        <w:t xml:space="preserve">oversee a marketing team in </w:t>
      </w:r>
      <w:r w:rsidR="0001489B">
        <w:t>New Jersey location and responsible for final version</w:t>
      </w:r>
      <w:r w:rsidR="00530FC4">
        <w:t xml:space="preserve"> creation and writing of marketing </w:t>
      </w:r>
      <w:r w:rsidR="009C50DB">
        <w:t xml:space="preserve">materials. Other functions will also include administrative </w:t>
      </w:r>
      <w:r w:rsidR="00B92F62">
        <w:t>duties. The marketing</w:t>
      </w:r>
      <w:r w:rsidR="009C50DB">
        <w:t xml:space="preserve"> manager position will require a minimum of </w:t>
      </w:r>
      <w:r w:rsidR="00B92F62">
        <w:t>Bachelor of Arts</w:t>
      </w:r>
      <w:r w:rsidR="009C50DB">
        <w:t xml:space="preserve"> in </w:t>
      </w:r>
      <w:r w:rsidR="00B92F62">
        <w:t>business administration</w:t>
      </w:r>
      <w:r w:rsidR="009C50DB">
        <w:t xml:space="preserve"> and </w:t>
      </w:r>
      <w:r w:rsidR="00B92F62">
        <w:t>marketing. Education or background experience in finance, la</w:t>
      </w:r>
      <w:r w:rsidR="0010100A">
        <w:t xml:space="preserve">w, accounting, or management will be </w:t>
      </w:r>
      <w:r w:rsidR="00B92F62">
        <w:t xml:space="preserve">highly </w:t>
      </w:r>
      <w:r w:rsidR="004372FB">
        <w:t>recommended. Lastly</w:t>
      </w:r>
      <w:r w:rsidR="00B92F62">
        <w:t>, a minimum of three-year proficiency in computer literacy</w:t>
      </w:r>
      <w:r w:rsidR="00A01632">
        <w:t xml:space="preserve"> in a marketing field will </w:t>
      </w:r>
      <w:r w:rsidR="004372FB">
        <w:t xml:space="preserve">also </w:t>
      </w:r>
      <w:r w:rsidR="00A01632">
        <w:t>be required.</w:t>
      </w:r>
    </w:p>
    <w:p w:rsidR="002B525B" w:rsidRDefault="002B525B" w:rsidP="00A01632">
      <w:pPr>
        <w:contextualSpacing/>
        <w:jc w:val="center"/>
        <w:rPr>
          <w:b/>
        </w:rPr>
      </w:pPr>
    </w:p>
    <w:p w:rsidR="00A01632" w:rsidRDefault="002B7869" w:rsidP="00A01632">
      <w:pPr>
        <w:contextualSpacing/>
        <w:jc w:val="center"/>
        <w:rPr>
          <w:b/>
        </w:rPr>
      </w:pPr>
      <w:r w:rsidRPr="00A01632">
        <w:rPr>
          <w:b/>
        </w:rPr>
        <w:t>workers Training Project</w:t>
      </w:r>
    </w:p>
    <w:p w:rsidR="00A01632" w:rsidRDefault="002B7869" w:rsidP="00A01632">
      <w:pPr>
        <w:contextualSpacing/>
      </w:pPr>
      <w:r>
        <w:rPr>
          <w:b/>
        </w:rPr>
        <w:tab/>
      </w:r>
      <w:r>
        <w:t xml:space="preserve">The marketing manager will go about working under the current marketing manager's office, and the individual will perform </w:t>
      </w:r>
      <w:r w:rsidR="00A931F7">
        <w:t>the duties</w:t>
      </w:r>
      <w:r w:rsidR="00261965">
        <w:t xml:space="preserve"> relevant to</w:t>
      </w:r>
      <w:r w:rsidR="00A931F7">
        <w:t xml:space="preserve"> the assigned job with intense supervision for one month. The individual will utilize a gradual re</w:t>
      </w:r>
      <w:r w:rsidR="00261965">
        <w:t xml:space="preserve">lease of responsibility, wherein </w:t>
      </w:r>
      <w:r w:rsidR="00A931F7">
        <w:t>the responsibilit</w:t>
      </w:r>
      <w:r w:rsidR="00261965">
        <w:t>ies for tasks are accomplished, sculpted</w:t>
      </w:r>
      <w:r w:rsidR="00A931F7">
        <w:t xml:space="preserve"> with assistance, and shifted gradually to the incoming manager to ensure it is in adherence to policy and </w:t>
      </w:r>
      <w:r w:rsidR="005F70F9">
        <w:t xml:space="preserve">transition. The training program's goals are to fully and effectively train the incoming marketing manager with ease of transition for the involved individuals. The present manager will schedule important topics to cover with the incoming manager daily in a sliding order of </w:t>
      </w:r>
      <w:r w:rsidR="00F47611">
        <w:t>urgency.</w:t>
      </w:r>
    </w:p>
    <w:p w:rsidR="00F47611" w:rsidRDefault="002B7869" w:rsidP="00F47611">
      <w:pPr>
        <w:contextualSpacing/>
        <w:jc w:val="center"/>
        <w:rPr>
          <w:b/>
        </w:rPr>
      </w:pPr>
      <w:r w:rsidRPr="00F47611">
        <w:rPr>
          <w:b/>
        </w:rPr>
        <w:t xml:space="preserve">Evaluation </w:t>
      </w:r>
      <w:r>
        <w:rPr>
          <w:b/>
        </w:rPr>
        <w:t>o</w:t>
      </w:r>
      <w:r w:rsidRPr="00F47611">
        <w:rPr>
          <w:b/>
        </w:rPr>
        <w:t>f Training Program</w:t>
      </w:r>
    </w:p>
    <w:p w:rsidR="00F47611" w:rsidRDefault="002B7869" w:rsidP="00F47611">
      <w:pPr>
        <w:contextualSpacing/>
      </w:pPr>
      <w:r>
        <w:rPr>
          <w:b/>
        </w:rPr>
        <w:tab/>
      </w:r>
      <w:r w:rsidR="00CC3AA2">
        <w:t>Feedback</w:t>
      </w:r>
      <w:r>
        <w:t xml:space="preserve"> from both the current and incoming </w:t>
      </w:r>
      <w:r w:rsidR="00AB3FBB">
        <w:t xml:space="preserve">marketing managers is necessary </w:t>
      </w:r>
      <w:r>
        <w:t xml:space="preserve">and encouraged </w:t>
      </w:r>
      <w:r w:rsidR="00435052">
        <w:t xml:space="preserve">to determine the training program's frailties and success.in each week progress </w:t>
      </w:r>
      <w:r w:rsidR="00CC3AA2">
        <w:t>report from</w:t>
      </w:r>
      <w:r w:rsidR="00435052">
        <w:t xml:space="preserve"> the incoming manager will be assessed. The program's effectiveness will be assessed</w:t>
      </w:r>
      <w:r w:rsidR="00261965">
        <w:t>, too, including the effectiveness of</w:t>
      </w:r>
      <w:r w:rsidR="00435052">
        <w:t xml:space="preserve"> </w:t>
      </w:r>
      <w:r w:rsidR="00261965">
        <w:t xml:space="preserve">the information </w:t>
      </w:r>
      <w:r w:rsidR="00435052">
        <w:t xml:space="preserve">and the benefits of it to the mentor. </w:t>
      </w:r>
    </w:p>
    <w:p w:rsidR="00435052" w:rsidRDefault="002B7869" w:rsidP="00F47611">
      <w:pPr>
        <w:contextualSpacing/>
        <w:rPr>
          <w:b/>
        </w:rPr>
      </w:pPr>
      <w:r w:rsidRPr="00435052">
        <w:rPr>
          <w:b/>
        </w:rPr>
        <w:t>Part B</w:t>
      </w:r>
    </w:p>
    <w:p w:rsidR="00FA4DB5" w:rsidRPr="009B0342" w:rsidRDefault="002B7869" w:rsidP="00F47611">
      <w:pPr>
        <w:contextualSpacing/>
      </w:pPr>
      <w:r>
        <w:rPr>
          <w:b/>
        </w:rPr>
        <w:tab/>
      </w:r>
      <w:r w:rsidR="009B0342">
        <w:t xml:space="preserve">The organization could </w:t>
      </w:r>
      <w:r>
        <w:t>construct a</w:t>
      </w:r>
      <w:r w:rsidR="009B0342">
        <w:t xml:space="preserve"> wage tier to determine the compensation for different </w:t>
      </w:r>
      <w:r>
        <w:t>positions. This</w:t>
      </w:r>
      <w:r w:rsidR="009B0342">
        <w:t xml:space="preserve"> </w:t>
      </w:r>
      <w:r>
        <w:t>malt-tiered approach involves employees hired recently than others who are placed on a lower wage scale than the previous hiring. The average difference in payment between the two tiers rang</w:t>
      </w:r>
      <w:r w:rsidR="00261965">
        <w:t>es between 25 and 30 percent. A wage tier</w:t>
      </w:r>
      <w:r>
        <w:t xml:space="preserve"> helps </w:t>
      </w:r>
      <w:r w:rsidR="00261965">
        <w:t xml:space="preserve">to </w:t>
      </w:r>
      <w:r>
        <w:t xml:space="preserve">provide different salaries to persons performing the same </w:t>
      </w:r>
      <w:r w:rsidR="0009698A">
        <w:t>duties</w:t>
      </w:r>
      <w:r w:rsidR="00B6782E" w:rsidRPr="00B6782E">
        <w:rPr>
          <w:rFonts w:ascii="Verdana" w:hAnsi="Verdana"/>
          <w:color w:val="333333"/>
          <w:sz w:val="21"/>
          <w:szCs w:val="21"/>
          <w:shd w:val="clear" w:color="auto" w:fill="FFFFFF"/>
        </w:rPr>
        <w:t xml:space="preserve"> </w:t>
      </w:r>
      <w:r w:rsidR="00B6782E" w:rsidRPr="00B6782E">
        <w:rPr>
          <w:rFonts w:cs="Times New Roman"/>
          <w:color w:val="333333"/>
          <w:szCs w:val="24"/>
          <w:shd w:val="clear" w:color="auto" w:fill="FFFFFF"/>
        </w:rPr>
        <w:t>(Pagano &amp; Liotine, 2019)</w:t>
      </w:r>
      <w:r w:rsidR="0009698A" w:rsidRPr="00B6782E">
        <w:rPr>
          <w:rFonts w:cs="Times New Roman"/>
          <w:szCs w:val="24"/>
        </w:rPr>
        <w:t>. The</w:t>
      </w:r>
      <w:r>
        <w:t xml:space="preserve"> current positions could </w:t>
      </w:r>
      <w:r w:rsidR="0009698A">
        <w:t>also</w:t>
      </w:r>
      <w:r>
        <w:t xml:space="preserve"> be tiered</w:t>
      </w:r>
      <w:r w:rsidR="0009698A">
        <w:t xml:space="preserve"> according to either permanent or temporary classification. Temporary tiers could provide a better understanding of workers, thus creating an incentive for workers to remain for many years. </w:t>
      </w:r>
    </w:p>
    <w:p w:rsidR="00435052" w:rsidRPr="00F47611" w:rsidRDefault="00435052" w:rsidP="00F47611">
      <w:pPr>
        <w:contextualSpacing/>
      </w:pPr>
    </w:p>
    <w:p w:rsidR="00F47611" w:rsidRPr="00A01632" w:rsidRDefault="00F47611" w:rsidP="00A01632">
      <w:pPr>
        <w:contextualSpacing/>
      </w:pPr>
    </w:p>
    <w:p w:rsidR="00B6782E" w:rsidRDefault="002B7869" w:rsidP="0009698A">
      <w:pPr>
        <w:rPr>
          <w:rFonts w:cs="Times New Roman"/>
          <w:szCs w:val="24"/>
        </w:rPr>
      </w:pPr>
      <w:r>
        <w:rPr>
          <w:b/>
        </w:rPr>
        <w:tab/>
      </w:r>
      <w:r w:rsidR="00B06CB0">
        <w:t>The</w:t>
      </w:r>
      <w:r>
        <w:t xml:space="preserve"> multi-tiered compensation plan</w:t>
      </w:r>
      <w:r w:rsidR="00B06CB0">
        <w:t xml:space="preserve">s were chosen according to shearers and Cappelli's research on compensation and low and high-tier employees. According to the research, permanent and temporary wage tiers individuals can move to higher wage tiers over </w:t>
      </w:r>
      <w:r w:rsidR="0017740D">
        <w:t>time. I choose this appro</w:t>
      </w:r>
      <w:r w:rsidR="00261965">
        <w:t>ach for offering wages due to its benefit of inspiration</w:t>
      </w:r>
      <w:r w:rsidR="0017740D">
        <w:t xml:space="preserve"> to workers to continue developing and learning with the organization. This approach also works for all of the positions in inquiry .it can also work with a simple structured wage </w:t>
      </w:r>
      <w:r w:rsidR="0061491D">
        <w:t>tier; that</w:t>
      </w:r>
      <w:r w:rsidR="0017740D">
        <w:t xml:space="preserve"> is, low tiers</w:t>
      </w:r>
      <w:r w:rsidR="0061491D">
        <w:t xml:space="preserve"> are placed with new hires and those on higher tiers. In the case of employees who perform the same </w:t>
      </w:r>
      <w:r w:rsidR="00CC3AA2">
        <w:t>duties, the individual with longer experience would retain a higher salary</w:t>
      </w:r>
      <w:r w:rsidR="00FF25EE" w:rsidRPr="00FF25EE">
        <w:rPr>
          <w:rFonts w:ascii="Verdana" w:hAnsi="Verdana"/>
          <w:color w:val="333333"/>
          <w:sz w:val="21"/>
          <w:szCs w:val="21"/>
          <w:shd w:val="clear" w:color="auto" w:fill="FFFFFF"/>
        </w:rPr>
        <w:t xml:space="preserve"> </w:t>
      </w:r>
      <w:r w:rsidR="00FF25EE">
        <w:rPr>
          <w:rFonts w:cs="Times New Roman"/>
          <w:color w:val="333333"/>
          <w:szCs w:val="24"/>
          <w:shd w:val="clear" w:color="auto" w:fill="FFFFFF"/>
        </w:rPr>
        <w:t>(Eagle et al., 2014</w:t>
      </w:r>
      <w:r w:rsidR="00FF25EE" w:rsidRPr="00FF25EE">
        <w:rPr>
          <w:rFonts w:cs="Times New Roman"/>
          <w:color w:val="333333"/>
          <w:szCs w:val="24"/>
          <w:shd w:val="clear" w:color="auto" w:fill="FFFFFF"/>
        </w:rPr>
        <w:t>)</w:t>
      </w:r>
      <w:r w:rsidR="00CC3AA2" w:rsidRPr="00FF25EE">
        <w:rPr>
          <w:rFonts w:cs="Times New Roman"/>
          <w:szCs w:val="24"/>
        </w:rPr>
        <w:t>.</w:t>
      </w:r>
    </w:p>
    <w:p w:rsidR="00B6782E" w:rsidRDefault="00B6782E">
      <w:pPr>
        <w:rPr>
          <w:rFonts w:cs="Times New Roman"/>
          <w:szCs w:val="24"/>
        </w:rPr>
      </w:pPr>
      <w:r>
        <w:rPr>
          <w:rFonts w:cs="Times New Roman"/>
          <w:szCs w:val="24"/>
        </w:rPr>
        <w:br w:type="page"/>
      </w:r>
    </w:p>
    <w:p w:rsidR="00B6782E" w:rsidRPr="00B6782E" w:rsidRDefault="00B6782E" w:rsidP="00B6782E">
      <w:pPr>
        <w:shd w:val="clear" w:color="auto" w:fill="FFFFFF"/>
        <w:spacing w:after="0" w:line="240" w:lineRule="auto"/>
        <w:jc w:val="center"/>
        <w:rPr>
          <w:rFonts w:eastAsia="Times New Roman" w:cs="Times New Roman"/>
          <w:b/>
          <w:color w:val="000000"/>
          <w:szCs w:val="24"/>
        </w:rPr>
      </w:pPr>
      <w:r w:rsidRPr="00B6782E">
        <w:rPr>
          <w:rFonts w:eastAsia="Times New Roman" w:cs="Times New Roman"/>
          <w:b/>
          <w:color w:val="000000"/>
          <w:szCs w:val="24"/>
        </w:rPr>
        <w:t>References</w:t>
      </w:r>
    </w:p>
    <w:p w:rsidR="00B6782E" w:rsidRPr="00B6782E" w:rsidRDefault="00B6782E" w:rsidP="00B6782E">
      <w:pPr>
        <w:shd w:val="clear" w:color="auto" w:fill="FFFFFF"/>
        <w:spacing w:after="0" w:line="550" w:lineRule="atLeast"/>
        <w:ind w:left="720" w:right="75" w:hanging="720"/>
        <w:rPr>
          <w:rFonts w:eastAsia="Times New Roman" w:cs="Times New Roman"/>
          <w:color w:val="000000"/>
          <w:szCs w:val="24"/>
        </w:rPr>
      </w:pPr>
      <w:r w:rsidRPr="00B6782E">
        <w:rPr>
          <w:rFonts w:eastAsia="Times New Roman" w:cs="Times New Roman"/>
          <w:color w:val="000000"/>
          <w:szCs w:val="24"/>
        </w:rPr>
        <w:t>Child, J., &amp; Rodrigues, S. B. (2012). How organizations engage with external complexity: A political action perspective. </w:t>
      </w:r>
      <w:r w:rsidRPr="00B6782E">
        <w:rPr>
          <w:rFonts w:eastAsia="Times New Roman" w:cs="Times New Roman"/>
          <w:i/>
          <w:iCs/>
          <w:color w:val="000000"/>
          <w:szCs w:val="24"/>
        </w:rPr>
        <w:t>Understanding Organizations in Complex, Emergent and Uncertain Environments</w:t>
      </w:r>
      <w:r w:rsidRPr="00B6782E">
        <w:rPr>
          <w:rFonts w:eastAsia="Times New Roman" w:cs="Times New Roman"/>
          <w:color w:val="000000"/>
          <w:szCs w:val="24"/>
        </w:rPr>
        <w:t>, 13-44. </w:t>
      </w:r>
      <w:hyperlink r:id="rId6" w:history="1">
        <w:r w:rsidRPr="00B6782E">
          <w:rPr>
            <w:rFonts w:eastAsia="Times New Roman" w:cs="Times New Roman"/>
            <w:color w:val="000000"/>
            <w:szCs w:val="24"/>
          </w:rPr>
          <w:t>https://doi.org/10.1057/9781137026088_2</w:t>
        </w:r>
      </w:hyperlink>
    </w:p>
    <w:p w:rsidR="00B6782E" w:rsidRPr="00B6782E" w:rsidRDefault="00B6782E" w:rsidP="00B6782E">
      <w:pPr>
        <w:shd w:val="clear" w:color="auto" w:fill="FFFFFF"/>
        <w:spacing w:after="0" w:line="550" w:lineRule="atLeast"/>
        <w:ind w:left="720" w:right="75" w:hanging="720"/>
        <w:rPr>
          <w:rFonts w:eastAsia="Times New Roman" w:cs="Times New Roman"/>
          <w:color w:val="000000"/>
          <w:szCs w:val="24"/>
        </w:rPr>
      </w:pPr>
      <w:r w:rsidRPr="00B6782E">
        <w:rPr>
          <w:rFonts w:eastAsia="Times New Roman" w:cs="Times New Roman"/>
          <w:color w:val="000000"/>
          <w:szCs w:val="24"/>
        </w:rPr>
        <w:t>Eagle, J. W., Dowd-Eagle, S. E., Snyder, A., &amp; Holtzman, E. G. (2014). Implementing a multi-tiered system of support (MTSS): Collaboration between school psychologists and administrators to promote systems-level change. </w:t>
      </w:r>
      <w:r w:rsidRPr="00B6782E">
        <w:rPr>
          <w:rFonts w:eastAsia="Times New Roman" w:cs="Times New Roman"/>
          <w:i/>
          <w:iCs/>
          <w:color w:val="000000"/>
          <w:szCs w:val="24"/>
        </w:rPr>
        <w:t>Journal of Educational and Psychological Consultation</w:t>
      </w:r>
      <w:r w:rsidRPr="00B6782E">
        <w:rPr>
          <w:rFonts w:eastAsia="Times New Roman" w:cs="Times New Roman"/>
          <w:color w:val="000000"/>
          <w:szCs w:val="24"/>
        </w:rPr>
        <w:t>, </w:t>
      </w:r>
      <w:r w:rsidRPr="00B6782E">
        <w:rPr>
          <w:rFonts w:eastAsia="Times New Roman" w:cs="Times New Roman"/>
          <w:i/>
          <w:iCs/>
          <w:color w:val="000000"/>
          <w:szCs w:val="24"/>
        </w:rPr>
        <w:t>25</w:t>
      </w:r>
      <w:r w:rsidRPr="00B6782E">
        <w:rPr>
          <w:rFonts w:eastAsia="Times New Roman" w:cs="Times New Roman"/>
          <w:color w:val="000000"/>
          <w:szCs w:val="24"/>
        </w:rPr>
        <w:t>(2-3), 160-177. </w:t>
      </w:r>
      <w:hyperlink r:id="rId7" w:history="1">
        <w:r w:rsidRPr="00B6782E">
          <w:rPr>
            <w:rFonts w:eastAsia="Times New Roman" w:cs="Times New Roman"/>
            <w:color w:val="000000"/>
            <w:szCs w:val="24"/>
          </w:rPr>
          <w:t>https://doi.org/10.1080/10474412.2014.929960</w:t>
        </w:r>
      </w:hyperlink>
    </w:p>
    <w:p w:rsidR="00B6782E" w:rsidRPr="00B6782E" w:rsidRDefault="00B6782E" w:rsidP="00B6782E">
      <w:pPr>
        <w:shd w:val="clear" w:color="auto" w:fill="FFFFFF"/>
        <w:spacing w:after="0" w:line="550" w:lineRule="atLeast"/>
        <w:ind w:left="720" w:right="75" w:hanging="720"/>
        <w:rPr>
          <w:rFonts w:eastAsia="Times New Roman" w:cs="Times New Roman"/>
          <w:color w:val="000000"/>
          <w:szCs w:val="24"/>
        </w:rPr>
      </w:pPr>
      <w:r w:rsidRPr="00B6782E">
        <w:rPr>
          <w:rFonts w:eastAsia="Times New Roman" w:cs="Times New Roman"/>
          <w:color w:val="000000"/>
          <w:szCs w:val="24"/>
        </w:rPr>
        <w:t>Finger, M. (2013). Environmental NGOs in world politics. </w:t>
      </w:r>
      <w:hyperlink r:id="rId8" w:history="1">
        <w:r w:rsidRPr="00B6782E">
          <w:rPr>
            <w:rFonts w:eastAsia="Times New Roman" w:cs="Times New Roman"/>
            <w:color w:val="000000"/>
            <w:szCs w:val="24"/>
          </w:rPr>
          <w:t>https://doi.org/10.4324/9780203429037</w:t>
        </w:r>
      </w:hyperlink>
    </w:p>
    <w:p w:rsidR="00B6782E" w:rsidRPr="00B6782E" w:rsidRDefault="00B6782E" w:rsidP="00B6782E">
      <w:pPr>
        <w:shd w:val="clear" w:color="auto" w:fill="FFFFFF"/>
        <w:spacing w:after="0" w:line="550" w:lineRule="atLeast"/>
        <w:ind w:left="720" w:right="75" w:hanging="720"/>
        <w:rPr>
          <w:rFonts w:eastAsia="Times New Roman" w:cs="Times New Roman"/>
          <w:color w:val="000000"/>
          <w:szCs w:val="24"/>
        </w:rPr>
      </w:pPr>
      <w:r w:rsidRPr="00B6782E">
        <w:rPr>
          <w:rFonts w:eastAsia="Times New Roman" w:cs="Times New Roman"/>
          <w:color w:val="000000"/>
          <w:szCs w:val="24"/>
        </w:rPr>
        <w:t>Liu, J., Kauffman, R. J., &amp; Ma, D. (2015). undefined. </w:t>
      </w:r>
      <w:r w:rsidRPr="00B6782E">
        <w:rPr>
          <w:rFonts w:eastAsia="Times New Roman" w:cs="Times New Roman"/>
          <w:i/>
          <w:iCs/>
          <w:color w:val="000000"/>
          <w:szCs w:val="24"/>
        </w:rPr>
        <w:t>Electronic Commerce Research and Applications</w:t>
      </w:r>
      <w:r w:rsidRPr="00B6782E">
        <w:rPr>
          <w:rFonts w:eastAsia="Times New Roman" w:cs="Times New Roman"/>
          <w:color w:val="000000"/>
          <w:szCs w:val="24"/>
        </w:rPr>
        <w:t>, </w:t>
      </w:r>
      <w:r w:rsidRPr="00B6782E">
        <w:rPr>
          <w:rFonts w:eastAsia="Times New Roman" w:cs="Times New Roman"/>
          <w:i/>
          <w:iCs/>
          <w:color w:val="000000"/>
          <w:szCs w:val="24"/>
        </w:rPr>
        <w:t>14</w:t>
      </w:r>
      <w:r w:rsidRPr="00B6782E">
        <w:rPr>
          <w:rFonts w:eastAsia="Times New Roman" w:cs="Times New Roman"/>
          <w:color w:val="000000"/>
          <w:szCs w:val="24"/>
        </w:rPr>
        <w:t>(5), 372-391. </w:t>
      </w:r>
      <w:hyperlink r:id="rId9" w:history="1">
        <w:r w:rsidRPr="00B6782E">
          <w:rPr>
            <w:rFonts w:eastAsia="Times New Roman" w:cs="Times New Roman"/>
            <w:color w:val="000000"/>
            <w:szCs w:val="24"/>
          </w:rPr>
          <w:t>https://doi.org/10.1016/j.elerap.2015.03.003</w:t>
        </w:r>
      </w:hyperlink>
    </w:p>
    <w:p w:rsidR="00B6782E" w:rsidRPr="00B6782E" w:rsidRDefault="00B6782E" w:rsidP="00B6782E">
      <w:pPr>
        <w:shd w:val="clear" w:color="auto" w:fill="FFFFFF"/>
        <w:spacing w:after="0" w:line="550" w:lineRule="atLeast"/>
        <w:ind w:left="720" w:right="75" w:hanging="720"/>
        <w:rPr>
          <w:rFonts w:eastAsia="Times New Roman" w:cs="Times New Roman"/>
          <w:color w:val="000000"/>
          <w:szCs w:val="24"/>
        </w:rPr>
      </w:pPr>
      <w:r w:rsidRPr="00B6782E">
        <w:rPr>
          <w:rFonts w:eastAsia="Times New Roman" w:cs="Times New Roman"/>
          <w:color w:val="000000"/>
          <w:szCs w:val="24"/>
        </w:rPr>
        <w:t>McConnell, C. R. (2019). </w:t>
      </w:r>
      <w:r w:rsidRPr="00B6782E">
        <w:rPr>
          <w:rFonts w:eastAsia="Times New Roman" w:cs="Times New Roman"/>
          <w:i/>
          <w:iCs/>
          <w:color w:val="000000"/>
          <w:szCs w:val="24"/>
        </w:rPr>
        <w:t>Human resource management in health care</w:t>
      </w:r>
      <w:r w:rsidRPr="00B6782E">
        <w:rPr>
          <w:rFonts w:eastAsia="Times New Roman" w:cs="Times New Roman"/>
          <w:color w:val="000000"/>
          <w:szCs w:val="24"/>
        </w:rPr>
        <w:t>. Jones &amp; Bartlett Learning.</w:t>
      </w:r>
    </w:p>
    <w:p w:rsidR="00B6782E" w:rsidRPr="00B6782E" w:rsidRDefault="00B6782E" w:rsidP="00B6782E">
      <w:pPr>
        <w:shd w:val="clear" w:color="auto" w:fill="FFFFFF"/>
        <w:spacing w:after="0" w:line="550" w:lineRule="atLeast"/>
        <w:ind w:left="720" w:right="75" w:hanging="720"/>
        <w:rPr>
          <w:rFonts w:eastAsia="Times New Roman" w:cs="Times New Roman"/>
          <w:color w:val="000000"/>
          <w:szCs w:val="24"/>
        </w:rPr>
      </w:pPr>
      <w:r w:rsidRPr="00B6782E">
        <w:rPr>
          <w:rFonts w:eastAsia="Times New Roman" w:cs="Times New Roman"/>
          <w:color w:val="000000"/>
          <w:szCs w:val="24"/>
        </w:rPr>
        <w:t>Närvänen, E., Gummesson, E., &amp; Kuusela, H. (2014). The collective consumption network. </w:t>
      </w:r>
      <w:r w:rsidRPr="00B6782E">
        <w:rPr>
          <w:rFonts w:eastAsia="Times New Roman" w:cs="Times New Roman"/>
          <w:i/>
          <w:iCs/>
          <w:color w:val="000000"/>
          <w:szCs w:val="24"/>
        </w:rPr>
        <w:t>Managing Service Quality: An International Journal</w:t>
      </w:r>
      <w:r w:rsidRPr="00B6782E">
        <w:rPr>
          <w:rFonts w:eastAsia="Times New Roman" w:cs="Times New Roman"/>
          <w:color w:val="000000"/>
          <w:szCs w:val="24"/>
        </w:rPr>
        <w:t>, </w:t>
      </w:r>
      <w:r w:rsidRPr="00B6782E">
        <w:rPr>
          <w:rFonts w:eastAsia="Times New Roman" w:cs="Times New Roman"/>
          <w:i/>
          <w:iCs/>
          <w:color w:val="000000"/>
          <w:szCs w:val="24"/>
        </w:rPr>
        <w:t>24</w:t>
      </w:r>
      <w:r w:rsidRPr="00B6782E">
        <w:rPr>
          <w:rFonts w:eastAsia="Times New Roman" w:cs="Times New Roman"/>
          <w:color w:val="000000"/>
          <w:szCs w:val="24"/>
        </w:rPr>
        <w:t>(6), 545-564. </w:t>
      </w:r>
      <w:hyperlink r:id="rId10" w:history="1">
        <w:r w:rsidRPr="00B6782E">
          <w:rPr>
            <w:rFonts w:eastAsia="Times New Roman" w:cs="Times New Roman"/>
            <w:color w:val="000000"/>
            <w:szCs w:val="24"/>
          </w:rPr>
          <w:t>https://doi.org/10.1108/msq-08-2013-0159</w:t>
        </w:r>
      </w:hyperlink>
    </w:p>
    <w:p w:rsidR="00B6782E" w:rsidRPr="00B6782E" w:rsidRDefault="00B6782E" w:rsidP="00B6782E">
      <w:pPr>
        <w:shd w:val="clear" w:color="auto" w:fill="FFFFFF"/>
        <w:spacing w:after="0" w:line="550" w:lineRule="atLeast"/>
        <w:ind w:left="720" w:right="75" w:hanging="720"/>
        <w:rPr>
          <w:rFonts w:eastAsia="Times New Roman" w:cs="Times New Roman"/>
          <w:color w:val="000000"/>
          <w:szCs w:val="24"/>
        </w:rPr>
      </w:pPr>
      <w:r w:rsidRPr="00B6782E">
        <w:rPr>
          <w:rFonts w:eastAsia="Times New Roman" w:cs="Times New Roman"/>
          <w:color w:val="000000"/>
          <w:szCs w:val="24"/>
        </w:rPr>
        <w:t>Pagano, A. M., &amp; Liotine, M. (2019). </w:t>
      </w:r>
      <w:r w:rsidRPr="00B6782E">
        <w:rPr>
          <w:rFonts w:eastAsia="Times New Roman" w:cs="Times New Roman"/>
          <w:i/>
          <w:iCs/>
          <w:color w:val="000000"/>
          <w:szCs w:val="24"/>
        </w:rPr>
        <w:t>Technology in supply chain management and logistics: Current practice and future applications</w:t>
      </w:r>
      <w:r w:rsidRPr="00B6782E">
        <w:rPr>
          <w:rFonts w:eastAsia="Times New Roman" w:cs="Times New Roman"/>
          <w:color w:val="000000"/>
          <w:szCs w:val="24"/>
        </w:rPr>
        <w:t>.</w:t>
      </w:r>
    </w:p>
    <w:p w:rsidR="00B6782E" w:rsidRPr="00B6782E" w:rsidRDefault="00B6782E" w:rsidP="00B6782E">
      <w:pPr>
        <w:shd w:val="clear" w:color="auto" w:fill="FFFFFF"/>
        <w:spacing w:after="0" w:line="550" w:lineRule="atLeast"/>
        <w:ind w:left="720" w:right="75" w:hanging="720"/>
        <w:rPr>
          <w:rFonts w:eastAsia="Times New Roman" w:cs="Times New Roman"/>
          <w:color w:val="000000"/>
          <w:szCs w:val="24"/>
        </w:rPr>
      </w:pPr>
      <w:r w:rsidRPr="00B6782E">
        <w:rPr>
          <w:rFonts w:eastAsia="Times New Roman" w:cs="Times New Roman"/>
          <w:color w:val="000000"/>
          <w:szCs w:val="24"/>
        </w:rPr>
        <w:t>Van Hooff, M. L., &amp; Taris, T. W. (2014). Let’s study how worker health affects the psychosocial work environment. </w:t>
      </w:r>
      <w:r w:rsidRPr="00B6782E">
        <w:rPr>
          <w:rFonts w:eastAsia="Times New Roman" w:cs="Times New Roman"/>
          <w:i/>
          <w:iCs/>
          <w:color w:val="000000"/>
          <w:szCs w:val="24"/>
        </w:rPr>
        <w:t>Scandinavian Journal of Work, Environment &amp; Health</w:t>
      </w:r>
      <w:r w:rsidRPr="00B6782E">
        <w:rPr>
          <w:rFonts w:eastAsia="Times New Roman" w:cs="Times New Roman"/>
          <w:color w:val="000000"/>
          <w:szCs w:val="24"/>
        </w:rPr>
        <w:t>, </w:t>
      </w:r>
      <w:r w:rsidRPr="00B6782E">
        <w:rPr>
          <w:rFonts w:eastAsia="Times New Roman" w:cs="Times New Roman"/>
          <w:i/>
          <w:iCs/>
          <w:color w:val="000000"/>
          <w:szCs w:val="24"/>
        </w:rPr>
        <w:t>40</w:t>
      </w:r>
      <w:r w:rsidRPr="00B6782E">
        <w:rPr>
          <w:rFonts w:eastAsia="Times New Roman" w:cs="Times New Roman"/>
          <w:color w:val="000000"/>
          <w:szCs w:val="24"/>
        </w:rPr>
        <w:t>(5), 437-440. </w:t>
      </w:r>
      <w:hyperlink r:id="rId11" w:history="1">
        <w:r w:rsidRPr="00B6782E">
          <w:rPr>
            <w:rFonts w:eastAsia="Times New Roman" w:cs="Times New Roman"/>
            <w:color w:val="000000"/>
            <w:szCs w:val="24"/>
          </w:rPr>
          <w:t>https://doi.org/10.5271/sjweh.3448</w:t>
        </w:r>
      </w:hyperlink>
    </w:p>
    <w:p w:rsidR="00B6782E" w:rsidRPr="00B6782E" w:rsidRDefault="00B6782E" w:rsidP="00B6782E">
      <w:pPr>
        <w:shd w:val="clear" w:color="auto" w:fill="FFFFFF"/>
        <w:spacing w:after="0" w:line="550" w:lineRule="atLeast"/>
        <w:ind w:left="720" w:right="75" w:hanging="720"/>
        <w:rPr>
          <w:rFonts w:eastAsia="Times New Roman" w:cs="Times New Roman"/>
          <w:color w:val="000000"/>
          <w:szCs w:val="24"/>
        </w:rPr>
      </w:pPr>
      <w:r w:rsidRPr="00B6782E">
        <w:rPr>
          <w:rFonts w:eastAsia="Times New Roman" w:cs="Times New Roman"/>
          <w:color w:val="000000"/>
          <w:szCs w:val="24"/>
        </w:rPr>
        <w:t>Vecchiato, R. (2012). Environmental uncertainty, foresight and strategic decision making: An integrated study. </w:t>
      </w:r>
      <w:r w:rsidRPr="00B6782E">
        <w:rPr>
          <w:rFonts w:eastAsia="Times New Roman" w:cs="Times New Roman"/>
          <w:i/>
          <w:iCs/>
          <w:color w:val="000000"/>
          <w:szCs w:val="24"/>
        </w:rPr>
        <w:t>Technological Forecasting and Social Change</w:t>
      </w:r>
      <w:r w:rsidRPr="00B6782E">
        <w:rPr>
          <w:rFonts w:eastAsia="Times New Roman" w:cs="Times New Roman"/>
          <w:color w:val="000000"/>
          <w:szCs w:val="24"/>
        </w:rPr>
        <w:t>, </w:t>
      </w:r>
      <w:r w:rsidRPr="00B6782E">
        <w:rPr>
          <w:rFonts w:eastAsia="Times New Roman" w:cs="Times New Roman"/>
          <w:i/>
          <w:iCs/>
          <w:color w:val="000000"/>
          <w:szCs w:val="24"/>
        </w:rPr>
        <w:t>79</w:t>
      </w:r>
      <w:r w:rsidRPr="00B6782E">
        <w:rPr>
          <w:rFonts w:eastAsia="Times New Roman" w:cs="Times New Roman"/>
          <w:color w:val="000000"/>
          <w:szCs w:val="24"/>
        </w:rPr>
        <w:t>(3), 436-447. </w:t>
      </w:r>
      <w:hyperlink r:id="rId12" w:history="1">
        <w:r w:rsidRPr="00B6782E">
          <w:rPr>
            <w:rFonts w:eastAsia="Times New Roman" w:cs="Times New Roman"/>
            <w:color w:val="000000"/>
            <w:szCs w:val="24"/>
          </w:rPr>
          <w:t>https://doi.org/10.1016/j.techfore.2011.07.010</w:t>
        </w:r>
      </w:hyperlink>
    </w:p>
    <w:p w:rsidR="00883D96" w:rsidRPr="00FF25EE" w:rsidRDefault="00883D96" w:rsidP="0009698A">
      <w:pPr>
        <w:rPr>
          <w:rFonts w:cs="Times New Roman"/>
          <w:szCs w:val="24"/>
        </w:rPr>
      </w:pPr>
    </w:p>
    <w:sectPr w:rsidR="00883D96" w:rsidRPr="00FF25EE">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D0248" w:rsidRDefault="007D0248">
      <w:pPr>
        <w:spacing w:after="0" w:line="240" w:lineRule="auto"/>
      </w:pPr>
      <w:r>
        <w:separator/>
      </w:r>
    </w:p>
  </w:endnote>
  <w:endnote w:type="continuationSeparator" w:id="0">
    <w:p w:rsidR="007D0248" w:rsidRDefault="007D0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D0248" w:rsidRDefault="007D0248">
      <w:pPr>
        <w:spacing w:after="0" w:line="240" w:lineRule="auto"/>
      </w:pPr>
      <w:r>
        <w:separator/>
      </w:r>
    </w:p>
  </w:footnote>
  <w:footnote w:type="continuationSeparator" w:id="0">
    <w:p w:rsidR="007D0248" w:rsidRDefault="007D0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8567676"/>
      <w:docPartObj>
        <w:docPartGallery w:val="Page Numbers (Top of Page)"/>
        <w:docPartUnique/>
      </w:docPartObj>
    </w:sdtPr>
    <w:sdtEndPr>
      <w:rPr>
        <w:noProof/>
      </w:rPr>
    </w:sdtEndPr>
    <w:sdtContent>
      <w:p w:rsidR="00883D96" w:rsidRDefault="002B7869">
        <w:pPr>
          <w:pStyle w:val="Header"/>
          <w:jc w:val="right"/>
        </w:pPr>
        <w:r>
          <w:fldChar w:fldCharType="begin"/>
        </w:r>
        <w:r>
          <w:instrText xml:space="preserve"> PAGE   \* MERGEFORMAT </w:instrText>
        </w:r>
        <w:r>
          <w:fldChar w:fldCharType="separate"/>
        </w:r>
        <w:r w:rsidR="00B6782E">
          <w:rPr>
            <w:noProof/>
          </w:rPr>
          <w:t>7</w:t>
        </w:r>
        <w:r>
          <w:rPr>
            <w:noProof/>
          </w:rPr>
          <w:fldChar w:fldCharType="end"/>
        </w:r>
      </w:p>
    </w:sdtContent>
  </w:sdt>
  <w:p w:rsidR="00883D96" w:rsidRDefault="00883D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D96"/>
    <w:rsid w:val="0001489B"/>
    <w:rsid w:val="00045D6F"/>
    <w:rsid w:val="0009698A"/>
    <w:rsid w:val="0010100A"/>
    <w:rsid w:val="00123C97"/>
    <w:rsid w:val="00144285"/>
    <w:rsid w:val="0017740D"/>
    <w:rsid w:val="001B6FAD"/>
    <w:rsid w:val="001D2649"/>
    <w:rsid w:val="00200450"/>
    <w:rsid w:val="00250205"/>
    <w:rsid w:val="00261965"/>
    <w:rsid w:val="0026358D"/>
    <w:rsid w:val="002B525B"/>
    <w:rsid w:val="002B7869"/>
    <w:rsid w:val="003329EA"/>
    <w:rsid w:val="003823F3"/>
    <w:rsid w:val="003F2319"/>
    <w:rsid w:val="00435052"/>
    <w:rsid w:val="004372FB"/>
    <w:rsid w:val="004B1F48"/>
    <w:rsid w:val="00512787"/>
    <w:rsid w:val="00530FC4"/>
    <w:rsid w:val="005516F8"/>
    <w:rsid w:val="00561964"/>
    <w:rsid w:val="00572C07"/>
    <w:rsid w:val="00581032"/>
    <w:rsid w:val="005F70F9"/>
    <w:rsid w:val="006079BA"/>
    <w:rsid w:val="0061491D"/>
    <w:rsid w:val="006936DC"/>
    <w:rsid w:val="00694CEF"/>
    <w:rsid w:val="007069D6"/>
    <w:rsid w:val="00717046"/>
    <w:rsid w:val="00752D53"/>
    <w:rsid w:val="0078008A"/>
    <w:rsid w:val="007D0248"/>
    <w:rsid w:val="00883D96"/>
    <w:rsid w:val="008B1A7D"/>
    <w:rsid w:val="00901A4A"/>
    <w:rsid w:val="00943F09"/>
    <w:rsid w:val="009B0342"/>
    <w:rsid w:val="009C50DB"/>
    <w:rsid w:val="00A01632"/>
    <w:rsid w:val="00A60045"/>
    <w:rsid w:val="00A931F7"/>
    <w:rsid w:val="00AB3FBB"/>
    <w:rsid w:val="00AD7547"/>
    <w:rsid w:val="00B06CB0"/>
    <w:rsid w:val="00B6782E"/>
    <w:rsid w:val="00B70680"/>
    <w:rsid w:val="00B92F62"/>
    <w:rsid w:val="00C23669"/>
    <w:rsid w:val="00C7143D"/>
    <w:rsid w:val="00C918D7"/>
    <w:rsid w:val="00CC3AA2"/>
    <w:rsid w:val="00CC7326"/>
    <w:rsid w:val="00DD3D32"/>
    <w:rsid w:val="00E43582"/>
    <w:rsid w:val="00E46F2F"/>
    <w:rsid w:val="00E50EEE"/>
    <w:rsid w:val="00ED3C0C"/>
    <w:rsid w:val="00F23860"/>
    <w:rsid w:val="00F44797"/>
    <w:rsid w:val="00F47611"/>
    <w:rsid w:val="00F866A4"/>
    <w:rsid w:val="00F975CE"/>
    <w:rsid w:val="00FA4DB5"/>
    <w:rsid w:val="00FF2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E2BDA4-C16B-4E3E-9CAE-FCB3D2BE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D96"/>
  </w:style>
  <w:style w:type="paragraph" w:styleId="Footer">
    <w:name w:val="footer"/>
    <w:basedOn w:val="Normal"/>
    <w:link w:val="FooterChar"/>
    <w:uiPriority w:val="99"/>
    <w:unhideWhenUsed/>
    <w:rsid w:val="00883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D96"/>
  </w:style>
  <w:style w:type="character" w:customStyle="1" w:styleId="gray">
    <w:name w:val="gray"/>
    <w:basedOn w:val="DefaultParagraphFont"/>
    <w:rsid w:val="00E43582"/>
  </w:style>
  <w:style w:type="paragraph" w:styleId="NormalWeb">
    <w:name w:val="Normal (Web)"/>
    <w:basedOn w:val="Normal"/>
    <w:uiPriority w:val="99"/>
    <w:semiHidden/>
    <w:unhideWhenUsed/>
    <w:rsid w:val="00B6782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6782E"/>
    <w:rPr>
      <w:i/>
      <w:iCs/>
    </w:rPr>
  </w:style>
  <w:style w:type="character" w:styleId="Hyperlink">
    <w:name w:val="Hyperlink"/>
    <w:basedOn w:val="DefaultParagraphFont"/>
    <w:uiPriority w:val="99"/>
    <w:semiHidden/>
    <w:unhideWhenUsed/>
    <w:rsid w:val="00B678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468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0203429037" TargetMode="External" /><Relationship Id="rId13"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080/10474412.2014.929960" TargetMode="External" /><Relationship Id="rId12" Type="http://schemas.openxmlformats.org/officeDocument/2006/relationships/hyperlink" Target="https://doi.org/10.1016/j.techfore.2011.07.010"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57/9781137026088_2" TargetMode="External" /><Relationship Id="rId11" Type="http://schemas.openxmlformats.org/officeDocument/2006/relationships/hyperlink" Target="https://doi.org/10.5271/sjweh.3448" TargetMode="Externa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hyperlink" Target="https://doi.org/10.1108/msq-08-2013-0159" TargetMode="External" /><Relationship Id="rId4" Type="http://schemas.openxmlformats.org/officeDocument/2006/relationships/footnotes" Target="footnotes.xml" /><Relationship Id="rId9" Type="http://schemas.openxmlformats.org/officeDocument/2006/relationships/hyperlink" Target="https://doi.org/10.1016/j.elerap.2015.03.003" TargetMode="Externa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2020-08-14T12:44:00Z</dcterms:created>
  <dcterms:modified xsi:type="dcterms:W3CDTF">2020-08-14T12:44:00Z</dcterms:modified>
</cp:coreProperties>
</file>